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55"/>
        <w:gridCol w:w="567"/>
        <w:gridCol w:w="427"/>
        <w:gridCol w:w="424"/>
        <w:gridCol w:w="378"/>
        <w:gridCol w:w="7849"/>
      </w:tblGrid>
      <w:tr w:rsidR="00CF76CC" w:rsidRPr="00FD2473" w:rsidTr="00C12D6F">
        <w:trPr>
          <w:tblHeader/>
        </w:trPr>
        <w:tc>
          <w:tcPr>
            <w:tcW w:w="5000" w:type="pct"/>
            <w:gridSpan w:val="6"/>
            <w:shd w:val="clear" w:color="auto" w:fill="31849B" w:themeFill="accent5" w:themeFillShade="BF"/>
          </w:tcPr>
          <w:p w:rsidR="00CF76CC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649BF">
              <w:rPr>
                <w:rFonts w:cs="Arial"/>
                <w:b/>
                <w:color w:val="FFFFFF" w:themeColor="background1"/>
                <w:sz w:val="24"/>
                <w:szCs w:val="24"/>
              </w:rPr>
              <w:t>CIENCIAS DA NATUREZA 3º EP</w:t>
            </w:r>
          </w:p>
        </w:tc>
      </w:tr>
      <w:tr w:rsidR="00CF76CC" w:rsidRPr="00FD2473" w:rsidTr="00C12D6F">
        <w:trPr>
          <w:tblHeader/>
        </w:trPr>
        <w:tc>
          <w:tcPr>
            <w:tcW w:w="1428" w:type="pct"/>
            <w:shd w:val="clear" w:color="auto" w:fill="31849B" w:themeFill="accent5" w:themeFillShade="BF"/>
          </w:tcPr>
          <w:p w:rsidR="00CF76CC" w:rsidRPr="00E649BF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649BF">
              <w:rPr>
                <w:rFonts w:cs="Arial"/>
                <w:b/>
                <w:color w:val="FFFFFF" w:themeColor="background1"/>
                <w:szCs w:val="20"/>
              </w:rPr>
              <w:t>EA</w:t>
            </w:r>
          </w:p>
        </w:tc>
        <w:tc>
          <w:tcPr>
            <w:tcW w:w="210" w:type="pct"/>
            <w:shd w:val="clear" w:color="auto" w:fill="31849B" w:themeFill="accent5" w:themeFillShade="BF"/>
          </w:tcPr>
          <w:p w:rsidR="00CF76CC" w:rsidRPr="00E649BF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%</w:t>
            </w:r>
          </w:p>
        </w:tc>
        <w:tc>
          <w:tcPr>
            <w:tcW w:w="158" w:type="pct"/>
            <w:shd w:val="clear" w:color="auto" w:fill="31849B" w:themeFill="accent5" w:themeFillShade="BF"/>
          </w:tcPr>
          <w:p w:rsidR="00CF76CC" w:rsidRPr="00E649BF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649BF">
              <w:rPr>
                <w:rFonts w:cs="Arial"/>
                <w:b/>
                <w:color w:val="FFFFFF" w:themeColor="background1"/>
                <w:szCs w:val="20"/>
              </w:rPr>
              <w:t>1ª AV</w:t>
            </w:r>
          </w:p>
        </w:tc>
        <w:tc>
          <w:tcPr>
            <w:tcW w:w="157" w:type="pct"/>
            <w:shd w:val="clear" w:color="auto" w:fill="31849B" w:themeFill="accent5" w:themeFillShade="BF"/>
          </w:tcPr>
          <w:p w:rsidR="00CF76CC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649BF">
              <w:rPr>
                <w:rFonts w:cs="Arial"/>
                <w:b/>
                <w:color w:val="FFFFFF" w:themeColor="background1"/>
                <w:szCs w:val="20"/>
              </w:rPr>
              <w:t>2ª</w:t>
            </w:r>
          </w:p>
          <w:p w:rsidR="00CF76CC" w:rsidRPr="00E649BF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649BF">
              <w:rPr>
                <w:rFonts w:cs="Arial"/>
                <w:b/>
                <w:color w:val="FFFFFF" w:themeColor="background1"/>
                <w:szCs w:val="20"/>
              </w:rPr>
              <w:t>AV</w:t>
            </w:r>
          </w:p>
        </w:tc>
        <w:tc>
          <w:tcPr>
            <w:tcW w:w="140" w:type="pct"/>
            <w:shd w:val="clear" w:color="auto" w:fill="31849B" w:themeFill="accent5" w:themeFillShade="BF"/>
          </w:tcPr>
          <w:p w:rsidR="00CF76CC" w:rsidRPr="00E649BF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649BF">
              <w:rPr>
                <w:rFonts w:cs="Arial"/>
                <w:b/>
                <w:color w:val="FFFFFF" w:themeColor="background1"/>
                <w:szCs w:val="20"/>
              </w:rPr>
              <w:t>3ªAV</w:t>
            </w:r>
          </w:p>
        </w:tc>
        <w:tc>
          <w:tcPr>
            <w:tcW w:w="2907" w:type="pct"/>
            <w:shd w:val="clear" w:color="auto" w:fill="31849B" w:themeFill="accent5" w:themeFillShade="BF"/>
          </w:tcPr>
          <w:p w:rsidR="00CF76CC" w:rsidRPr="00E649BF" w:rsidRDefault="00CF76CC" w:rsidP="00C12D6F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INSTRUMENTOS DE AVALIACIÓN</w:t>
            </w: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CNB1.1.1. Busca, selecciona e organiza a información importante, obtén conclusións e comunica o resultado de forma oral e escrita de maneira ordenada, clara e limpa, en diferentes soportes.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CNB1.1.2. Manifesta certa autonomía na observación, planificación e execución de accións e tarefas e ten iniciativa na toma de decisións.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CNB1.2.1. Establece conxecturas de sucesos ou problemas do seu contorno mediante a observación obtén unha información.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7,14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CNB1.3.1. Coñece e aplica estratexias para estudar e traballar de forma eficaz individualmente e en equipo, amosando habilidades para a resolución pacífica de conflitos.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7,14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CNB2.1.1. Explica a morfoloxía externa do propio corpo, o seu funcionamento nun sentido global e os cambios nas distintas etapas da vida.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CNB2.1.2. Coñece os principais órganos vitais e entende a súa importancia no funcionamento do organismo.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CNB2.2.1 Emprega hábitos de hixiene, de exercicio e de alimentación sa na escola.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CNB2.2.2. Recoñece algúns factores causantes das enfermidades máis habituais (caries, catarros, gripe e obesidade) e aplica actuacións para á súa prevención.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lastRenderedPageBreak/>
              <w:t>CNB2.3.1. Clasifica alimentos en función dos nutrientes principais.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14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CNB2.3.2. Diferencia entre dieta equilibrada e non equilibrada e elabora un menú saudable na escola.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14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CNB3.1.1. Observa, identifica e recoñece as características básicas e clasifica animais vertebrados e invertebrados do seu contorno, con criterio científico.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2,38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CNB3.1.2. Observa, identifica e recoñece as características das plantas do seu contorno e clasifícaas con criterio científico.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2,38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CNB3.1.3. Utiliza claves e guías para a clasificación de animais e plantas.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2,38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CNB3.2.1. Coñece as funcións de relación, reprodución e alimentación dun ser vivo e as explica empregando diferentes soportes.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CNB3.2.2. Rexistra e comunica de xeito oral e escrito os resultados da observación do ciclo vital previamente planificado.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CNB4.1.1 Coñece algunhas fontes de enerxía, os seus usos e a súa intervención na vida cotiá.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CNB4.1.2. Emprega actitudes responsables de aforro enerxético e de recollida de residuos na escola.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CNB4.2.1. Explica os cambios de estado da auga en fenómenos naturais e situacións da vida cotián.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lastRenderedPageBreak/>
              <w:t>CNB4.2.2. Realiza experiencias sinxelas para identificar as forzas que fan que os obxectos se movan en situacións reais.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CNB4.3.1. Compara densidades de diferentes sustancias que emprega diariamente con respecto á auga.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7,14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CNB4.3.2. Realiza algunhas mesturas de uso doméstico e presenta conclusións dos resultados.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7,14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CNB5.1.1. Coñece e emprega obxectos, aparellos e máquinas sinxelas de uso cotián na escola analizando o seu funcionamento.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CNB5.1.2. Identifica e explica a enerxía que empregan obxectos, aparellos e máquinas sinxelas de uso habitual na vida cotiá.</w:t>
            </w:r>
          </w:p>
        </w:tc>
        <w:tc>
          <w:tcPr>
            <w:tcW w:w="210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CNB5.2.1. Identifica e describe oficios en función dos materiais, das ferramentas e das máquinas que empregan.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  <w:tr w:rsidR="00CF76CC" w:rsidRPr="00FD2473" w:rsidTr="00C12D6F">
        <w:tc>
          <w:tcPr>
            <w:tcW w:w="1428" w:type="pct"/>
            <w:shd w:val="clear" w:color="auto" w:fill="F2F2F2" w:themeFill="background1" w:themeFillShade="F2"/>
          </w:tcPr>
          <w:p w:rsidR="00CF76CC" w:rsidRPr="009B3D04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eastAsia="es-ES"/>
              </w:rPr>
            </w:pPr>
            <w:r w:rsidRPr="009B3D04">
              <w:rPr>
                <w:rFonts w:cs="Arial"/>
                <w:szCs w:val="20"/>
                <w:lang w:eastAsia="es-ES"/>
              </w:rPr>
              <w:t>CNB5.2.2. Aplica os coñecementos ao deseño e construción dalgún obxecto ou aparello sinxelo, empregando operacións matemáticas no cálculo previo, así como as tecnolóxicas: unir, cortar, pegar...</w:t>
            </w:r>
          </w:p>
        </w:tc>
        <w:tc>
          <w:tcPr>
            <w:tcW w:w="210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  <w:r>
              <w:rPr>
                <w:rFonts w:cs="Arial"/>
                <w:szCs w:val="20"/>
                <w:lang w:val="es-ES" w:eastAsia="es-ES"/>
              </w:rPr>
              <w:t>3,57</w:t>
            </w:r>
          </w:p>
        </w:tc>
        <w:tc>
          <w:tcPr>
            <w:tcW w:w="158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57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140" w:type="pct"/>
            <w:shd w:val="clear" w:color="auto" w:fill="F2F2F2" w:themeFill="background1" w:themeFillShade="F2"/>
          </w:tcPr>
          <w:p w:rsidR="00CF76CC" w:rsidRPr="008133B3" w:rsidRDefault="00CF76CC" w:rsidP="00C12D6F">
            <w:pPr>
              <w:pStyle w:val="ttp1"/>
              <w:tabs>
                <w:tab w:val="clear" w:pos="720"/>
              </w:tabs>
              <w:ind w:left="0" w:firstLine="0"/>
            </w:pPr>
          </w:p>
        </w:tc>
        <w:tc>
          <w:tcPr>
            <w:tcW w:w="2907" w:type="pct"/>
            <w:shd w:val="clear" w:color="auto" w:fill="F2F2F2" w:themeFill="background1" w:themeFillShade="F2"/>
          </w:tcPr>
          <w:p w:rsidR="00CF76CC" w:rsidRPr="00FD2473" w:rsidRDefault="00CF76CC" w:rsidP="00C12D6F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  <w:lang w:val="es-ES" w:eastAsia="es-ES"/>
              </w:rPr>
            </w:pPr>
          </w:p>
        </w:tc>
      </w:tr>
    </w:tbl>
    <w:p w:rsidR="00896953" w:rsidRPr="00896953" w:rsidRDefault="00896953" w:rsidP="00896953">
      <w:pPr>
        <w:rPr>
          <w:rFonts w:cs="Arial"/>
          <w:sz w:val="24"/>
          <w:szCs w:val="24"/>
        </w:rPr>
      </w:pPr>
    </w:p>
    <w:sectPr w:rsidR="00896953" w:rsidRPr="00896953" w:rsidSect="00CF76CC">
      <w:headerReference w:type="default" r:id="rId7"/>
      <w:pgSz w:w="16838" w:h="11906" w:orient="landscape"/>
      <w:pgMar w:top="1701" w:right="1417" w:bottom="1701" w:left="1417" w:header="3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CC" w:rsidRDefault="009B7ECC" w:rsidP="00DC082B">
      <w:r>
        <w:separator/>
      </w:r>
    </w:p>
  </w:endnote>
  <w:endnote w:type="continuationSeparator" w:id="1">
    <w:p w:rsidR="009B7ECC" w:rsidRDefault="009B7ECC" w:rsidP="00DC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CC" w:rsidRDefault="009B7ECC" w:rsidP="00DC082B">
      <w:r>
        <w:separator/>
      </w:r>
    </w:p>
  </w:footnote>
  <w:footnote w:type="continuationSeparator" w:id="1">
    <w:p w:rsidR="009B7ECC" w:rsidRDefault="009B7ECC" w:rsidP="00DC0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9" w:rsidRDefault="00CF76CC" w:rsidP="00E37FAC">
    <w:pPr>
      <w:tabs>
        <w:tab w:val="right" w:pos="7143"/>
      </w:tabs>
      <w:ind w:left="-737" w:right="1361"/>
    </w:pPr>
    <w:r>
      <w:rPr>
        <w:noProof/>
        <w:lang w:eastAsia="es-ES"/>
      </w:rPr>
      <w:pict>
        <v:rect id="_x0000_s4099" style="position:absolute;left:0;text-align:left;margin-left:259.05pt;margin-top:-1.95pt;width:170.8pt;height:48.1pt;z-index:251658240" strokecolor="white [3212]">
          <v:textbox style="mso-next-textbox:#_x0000_s4099">
            <w:txbxContent>
              <w:p w:rsidR="00E37FAC" w:rsidRPr="005771BA" w:rsidRDefault="00E37FAC" w:rsidP="00E37FAC">
                <w:pPr>
                  <w:spacing w:line="360" w:lineRule="auto"/>
                  <w:jc w:val="center"/>
                  <w:rPr>
                    <w:rFonts w:cs="Arial"/>
                    <w:b/>
                    <w:color w:val="365F91"/>
                    <w:sz w:val="18"/>
                    <w:szCs w:val="18"/>
                    <w:lang w:val="es-ES_tradnl"/>
                  </w:rPr>
                </w:pPr>
                <w:r w:rsidRPr="005771BA">
                  <w:rPr>
                    <w:rFonts w:cs="Arial"/>
                    <w:b/>
                    <w:color w:val="365F91"/>
                    <w:sz w:val="18"/>
                    <w:szCs w:val="18"/>
                    <w:lang w:val="es-ES_tradnl"/>
                  </w:rPr>
                  <w:t>INTEGRACIÓN DAS COMPETENCIAS CLAVE NO CURRÍCULO</w:t>
                </w:r>
              </w:p>
              <w:p w:rsidR="00E37FAC" w:rsidRPr="005771BA" w:rsidRDefault="00E37FAC" w:rsidP="00E37FAC">
                <w:pPr>
                  <w:rPr>
                    <w:lang w:val="es-ES_tradnl"/>
                  </w:rPr>
                </w:pPr>
              </w:p>
            </w:txbxContent>
          </v:textbox>
        </v:rect>
      </w:pict>
    </w:r>
    <w:r w:rsidR="00FA2921">
      <w:rPr>
        <w:noProof/>
        <w:lang w:eastAsia="es-ES"/>
      </w:rPr>
      <w:pict>
        <v:rect id="_x0000_s4100" style="position:absolute;left:0;text-align:left;margin-left:560.75pt;margin-top:-1.95pt;width:170.8pt;height:48.1pt;z-index:251659264" strokecolor="white [3212]">
          <v:textbox style="mso-next-textbox:#_x0000_s4100">
            <w:txbxContent>
              <w:p w:rsidR="00E37FAC" w:rsidRPr="005771BA" w:rsidRDefault="00E37FAC" w:rsidP="00E37FAC">
                <w:pPr>
                  <w:rPr>
                    <w:lang w:val="es-ES_tradnl"/>
                  </w:rPr>
                </w:pPr>
                <w:r>
                  <w:rPr>
                    <w:lang w:val="es-ES_tradnl"/>
                  </w:rPr>
                  <w:t xml:space="preserve">             </w:t>
                </w:r>
                <w:r w:rsidRPr="005771BA">
                  <w:rPr>
                    <w:noProof/>
                    <w:lang w:eastAsia="es-ES"/>
                  </w:rPr>
                  <w:drawing>
                    <wp:inline distT="0" distB="0" distL="0" distR="0">
                      <wp:extent cx="840105" cy="308610"/>
                      <wp:effectExtent l="19050" t="0" r="0" b="0"/>
                      <wp:docPr id="14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10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EF286C">
      <w:t xml:space="preserve"> </w:t>
    </w:r>
    <w:r w:rsidR="00E37FAC" w:rsidRPr="00E37FAC">
      <w:rPr>
        <w:noProof/>
        <w:lang w:eastAsia="es-ES"/>
      </w:rPr>
      <w:drawing>
        <wp:inline distT="0" distB="0" distL="0" distR="0">
          <wp:extent cx="1976755" cy="451196"/>
          <wp:effectExtent l="19050" t="0" r="4445" b="0"/>
          <wp:docPr id="15" name="Imagen 1" descr="Inicio">
            <a:hlinkClick xmlns:a="http://schemas.openxmlformats.org/drawingml/2006/main" r:id="rId2" tooltip="Inici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ici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451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286C">
      <w:t xml:space="preserve"> </w:t>
    </w:r>
    <w:r w:rsidR="005C5A92">
      <w:t xml:space="preserve">              </w:t>
    </w:r>
    <w:r w:rsidR="00E37FA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6953"/>
    <w:rsid w:val="00152AD0"/>
    <w:rsid w:val="001576FA"/>
    <w:rsid w:val="002C26D9"/>
    <w:rsid w:val="00376A3F"/>
    <w:rsid w:val="0050591C"/>
    <w:rsid w:val="005C5A92"/>
    <w:rsid w:val="005F0A59"/>
    <w:rsid w:val="00630DAE"/>
    <w:rsid w:val="00763F62"/>
    <w:rsid w:val="007962F8"/>
    <w:rsid w:val="0084425A"/>
    <w:rsid w:val="008776DE"/>
    <w:rsid w:val="00896953"/>
    <w:rsid w:val="008A7E5D"/>
    <w:rsid w:val="009B7ECC"/>
    <w:rsid w:val="00A32C19"/>
    <w:rsid w:val="00BE0D1D"/>
    <w:rsid w:val="00BF2F5E"/>
    <w:rsid w:val="00CE3C5F"/>
    <w:rsid w:val="00CF76CC"/>
    <w:rsid w:val="00D53E79"/>
    <w:rsid w:val="00D95E88"/>
    <w:rsid w:val="00DC082B"/>
    <w:rsid w:val="00E37FAC"/>
    <w:rsid w:val="00E433C7"/>
    <w:rsid w:val="00E72707"/>
    <w:rsid w:val="00EF286C"/>
    <w:rsid w:val="00FA2921"/>
    <w:rsid w:val="00FC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CC"/>
    <w:pPr>
      <w:spacing w:after="0" w:line="240" w:lineRule="auto"/>
      <w:jc w:val="both"/>
    </w:pPr>
    <w:rPr>
      <w:rFonts w:ascii="Arial" w:eastAsia="Calibri" w:hAnsi="Arial" w:cs="Times New Roman"/>
      <w:sz w:val="20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cion1">
    <w:name w:val="seccion1"/>
    <w:basedOn w:val="Normal"/>
    <w:rsid w:val="00896953"/>
    <w:pPr>
      <w:spacing w:before="480" w:after="240" w:line="320" w:lineRule="exact"/>
      <w:ind w:firstLine="420"/>
      <w:jc w:val="center"/>
    </w:pPr>
    <w:rPr>
      <w:rFonts w:eastAsia="Times New Roman" w:cs="Arial"/>
      <w:b/>
      <w:bCs/>
      <w:i/>
      <w:iCs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DC082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C082B"/>
  </w:style>
  <w:style w:type="paragraph" w:styleId="Piedepgina">
    <w:name w:val="footer"/>
    <w:basedOn w:val="Normal"/>
    <w:link w:val="PiedepginaCar"/>
    <w:uiPriority w:val="99"/>
    <w:semiHidden/>
    <w:unhideWhenUsed/>
    <w:rsid w:val="00DC08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082B"/>
  </w:style>
  <w:style w:type="paragraph" w:styleId="Textodeglobo">
    <w:name w:val="Balloon Text"/>
    <w:basedOn w:val="Normal"/>
    <w:link w:val="TextodegloboCar"/>
    <w:uiPriority w:val="99"/>
    <w:semiHidden/>
    <w:unhideWhenUsed/>
    <w:rsid w:val="00DC082B"/>
    <w:pPr>
      <w:jc w:val="left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2B"/>
    <w:rPr>
      <w:rFonts w:ascii="Tahoma" w:hAnsi="Tahoma" w:cs="Tahoma"/>
      <w:sz w:val="16"/>
      <w:szCs w:val="16"/>
    </w:rPr>
  </w:style>
  <w:style w:type="paragraph" w:customStyle="1" w:styleId="ttp1">
    <w:name w:val="_ttp1"/>
    <w:basedOn w:val="NormalWeb"/>
    <w:qFormat/>
    <w:rsid w:val="00CF76CC"/>
    <w:pPr>
      <w:tabs>
        <w:tab w:val="num" w:pos="720"/>
      </w:tabs>
      <w:snapToGrid w:val="0"/>
      <w:spacing w:before="60" w:after="60" w:line="240" w:lineRule="exact"/>
      <w:ind w:left="227" w:hanging="227"/>
      <w:jc w:val="left"/>
    </w:pPr>
    <w:rPr>
      <w:rFonts w:ascii="Arial" w:eastAsia="Times New Roman" w:hAnsi="Arial" w:cs="Arial"/>
      <w:sz w:val="18"/>
      <w:szCs w:val="20"/>
      <w:lang w:eastAsia="gl-ES"/>
    </w:rPr>
  </w:style>
  <w:style w:type="paragraph" w:styleId="NormalWeb">
    <w:name w:val="Normal (Web)"/>
    <w:basedOn w:val="Normal"/>
    <w:uiPriority w:val="99"/>
    <w:semiHidden/>
    <w:unhideWhenUsed/>
    <w:rsid w:val="00CF76C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edu.xunta.es/web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94AD-421C-4AD9-B157-E25EADE0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2</cp:revision>
  <dcterms:created xsi:type="dcterms:W3CDTF">2014-11-14T12:11:00Z</dcterms:created>
  <dcterms:modified xsi:type="dcterms:W3CDTF">2014-11-14T12:11:00Z</dcterms:modified>
</cp:coreProperties>
</file>