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ind w:left="720"/>
        <w:jc w:val="both"/>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                                   Bibliografía</w:t>
      </w:r>
    </w:p>
    <w:p w:rsidR="00000000" w:rsidDel="00000000" w:rsidP="00000000" w:rsidRDefault="00000000" w:rsidRPr="00000000" w14:paraId="00000002">
      <w:pPr>
        <w:spacing w:after="160" w:line="276" w:lineRule="auto"/>
        <w:ind w:left="72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spacing w:after="160"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Video 1.  “</w:t>
      </w:r>
      <w:hyperlink r:id="rId7">
        <w:r w:rsidDel="00000000" w:rsidR="00000000" w:rsidRPr="00000000">
          <w:rPr>
            <w:rFonts w:ascii="Calibri" w:cs="Calibri" w:eastAsia="Calibri" w:hAnsi="Calibri"/>
            <w:color w:val="000000"/>
            <w:sz w:val="22"/>
            <w:szCs w:val="22"/>
            <w:rtl w:val="0"/>
          </w:rPr>
          <w:t xml:space="preserve">La sabiduría de los Gansos</w:t>
        </w:r>
      </w:hyperlink>
      <w:r w:rsidDel="00000000" w:rsidR="00000000" w:rsidRPr="00000000">
        <w:rPr>
          <w:rFonts w:ascii="Calibri" w:cs="Calibri" w:eastAsia="Calibri" w:hAnsi="Calibri"/>
          <w:color w:val="000000"/>
          <w:sz w:val="22"/>
          <w:szCs w:val="22"/>
          <w:rtl w:val="0"/>
        </w:rPr>
        <w:t xml:space="preserve">”. Video que a través del análisis científico del vuelo de los gansos ilustra y explica los beneficios del trabajo en equipo (cooperación y trabajo en grupo) como ingredientes para avanzar juntos y llegar tan lejos como sea posible. Excelente recurso para compartir con el claustro y poder abrir debate sobre el trabajo en equipo.</w:t>
      </w:r>
    </w:p>
    <w:p w:rsidR="00000000" w:rsidDel="00000000" w:rsidP="00000000" w:rsidRDefault="00000000" w:rsidRPr="00000000" w14:paraId="00000004">
      <w:pPr>
        <w:spacing w:after="16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5">
      <w:pPr>
        <w:spacing w:after="160"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Video 2.  “</w:t>
      </w:r>
      <w:hyperlink r:id="rId8">
        <w:r w:rsidDel="00000000" w:rsidR="00000000" w:rsidRPr="00000000">
          <w:rPr>
            <w:rFonts w:ascii="Calibri" w:cs="Calibri" w:eastAsia="Calibri" w:hAnsi="Calibri"/>
            <w:color w:val="000000"/>
            <w:sz w:val="22"/>
            <w:szCs w:val="22"/>
            <w:rtl w:val="0"/>
          </w:rPr>
          <w:t xml:space="preserve">I just sued the school</w:t>
        </w:r>
      </w:hyperlink>
      <w:r w:rsidDel="00000000" w:rsidR="00000000" w:rsidRPr="00000000">
        <w:rPr>
          <w:rFonts w:ascii="Calibri" w:cs="Calibri" w:eastAsia="Calibri" w:hAnsi="Calibri"/>
          <w:color w:val="000000"/>
          <w:sz w:val="22"/>
          <w:szCs w:val="22"/>
          <w:rtl w:val="0"/>
        </w:rPr>
        <w:t xml:space="preserve">”.  (En Castellano) Juicio al Sistema educativo donde se ponen en entredicho aspectos esenciales del funcionamiento o del “mal funcionamiento” del sistema educativo. Se pone de manifiesto que el sistema educativo debe ser más personal y humano. Muy recomendable para maestros y docentes.</w:t>
      </w:r>
    </w:p>
    <w:p w:rsidR="00000000" w:rsidDel="00000000" w:rsidP="00000000" w:rsidRDefault="00000000" w:rsidRPr="00000000" w14:paraId="00000006">
      <w:pPr>
        <w:spacing w:after="160"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7">
      <w:pPr>
        <w:spacing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Documento 1. “</w:t>
      </w:r>
      <w:hyperlink r:id="rId9">
        <w:r w:rsidDel="00000000" w:rsidR="00000000" w:rsidRPr="00000000">
          <w:rPr>
            <w:rFonts w:ascii="Calibri" w:cs="Calibri" w:eastAsia="Calibri" w:hAnsi="Calibri"/>
            <w:color w:val="000000"/>
            <w:sz w:val="22"/>
            <w:szCs w:val="22"/>
            <w:rtl w:val="0"/>
          </w:rPr>
          <w:t xml:space="preserve">Replantear la educación: ¿Hacia un bien común mundial?</w:t>
        </w:r>
      </w:hyperlink>
      <w:r w:rsidDel="00000000" w:rsidR="00000000" w:rsidRPr="00000000">
        <w:rPr>
          <w:rFonts w:ascii="Calibri" w:cs="Calibri" w:eastAsia="Calibri" w:hAnsi="Calibri"/>
          <w:color w:val="000000"/>
          <w:sz w:val="22"/>
          <w:szCs w:val="22"/>
          <w:rtl w:val="0"/>
        </w:rPr>
        <w:t xml:space="preserve">”. ¿Qué educación necesitamos para el siglo XXI? ¿Cuál es la finalidad de la educación en el contexto actual de transformación social? ¿Cómo debería organizarse el aprendizaje? Estas preguntas inspiraron las ideas presentadas en esta publicación.</w:t>
      </w:r>
    </w:p>
    <w:p w:rsidR="00000000" w:rsidDel="00000000" w:rsidP="00000000" w:rsidRDefault="00000000" w:rsidRPr="00000000" w14:paraId="00000008">
      <w:pPr>
        <w:spacing w:line="276" w:lineRule="auto"/>
        <w:ind w:left="72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A">
      <w:pPr>
        <w:spacing w:after="160"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Documento 2. Video 1. Proyecto “Ambientes Innovadores de Aprendizaje</w:t>
      </w:r>
      <w:hyperlink r:id="rId10">
        <w:r w:rsidDel="00000000" w:rsidR="00000000" w:rsidRPr="00000000">
          <w:rPr>
            <w:rFonts w:ascii="Calibri" w:cs="Calibri" w:eastAsia="Calibri" w:hAnsi="Calibri"/>
            <w:color w:val="000000"/>
            <w:sz w:val="22"/>
            <w:szCs w:val="22"/>
            <w:rtl w:val="0"/>
          </w:rPr>
          <w:t xml:space="preserve">”. La Naturaleza del aprendizaje</w:t>
        </w:r>
      </w:hyperlink>
      <w:r w:rsidDel="00000000" w:rsidR="00000000" w:rsidRPr="00000000">
        <w:rPr>
          <w:rFonts w:ascii="Calibri" w:cs="Calibri" w:eastAsia="Calibri" w:hAnsi="Calibri"/>
          <w:color w:val="000000"/>
          <w:sz w:val="22"/>
          <w:szCs w:val="22"/>
          <w:rtl w:val="0"/>
        </w:rPr>
        <w:t xml:space="preserve">. Título original: : The Nature of Learning. Using research to inspire practice. Cuales son los fundamentos que justifican que es necesario realizar un cambio educativo. Refenrencia:  OCDE. (2010). Naturaleza del aprendizaje: Investigación pera inspirar la práctica. </w:t>
      </w:r>
    </w:p>
    <w:p w:rsidR="00000000" w:rsidDel="00000000" w:rsidP="00000000" w:rsidRDefault="00000000" w:rsidRPr="00000000" w14:paraId="0000000B">
      <w:pPr>
        <w:spacing w:after="160" w:line="276" w:lineRule="auto"/>
        <w:ind w:left="72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spacing w:after="160"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Vergara Ramírez, J. M. (ed.) (2015). Aprendo porque quiero. Madrid: Ediciones SM.</w:t>
      </w:r>
    </w:p>
    <w:p w:rsidR="00000000" w:rsidDel="00000000" w:rsidP="00000000" w:rsidRDefault="00000000" w:rsidRPr="00000000" w14:paraId="0000000D">
      <w:pPr>
        <w:spacing w:after="160" w:line="276" w:lineRule="auto"/>
        <w:ind w:left="720"/>
        <w:jc w:val="both"/>
        <w:rPr>
          <w:rFonts w:ascii="Calibri" w:cs="Calibri" w:eastAsia="Calibri" w:hAnsi="Calibri"/>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spacing w:after="160" w:line="276" w:lineRule="auto"/>
        <w:ind w:left="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Lago, J. R., &amp; Onrubia, J. (2011). Un modelo de asesoramiento para la mejora de las prácticas educativas. A E.Martín, &amp; J.Onrubia (Coords.), Orientación educativa y procesos de innovación y mejora de la enseñanza. Barcelona. Graó. pp. 11-32.</w:t>
      </w:r>
    </w:p>
    <w:p w:rsidR="00000000" w:rsidDel="00000000" w:rsidP="00000000" w:rsidRDefault="00000000" w:rsidRPr="00000000" w14:paraId="0000000F">
      <w:pPr>
        <w:spacing w:after="160" w:line="276" w:lineRule="auto"/>
        <w:ind w:left="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after="160" w:line="276" w:lineRule="auto"/>
        <w:ind w:left="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w:t>
      </w:r>
      <w:r w:rsidDel="00000000" w:rsidR="00000000" w:rsidRPr="00000000">
        <w:rPr>
          <w:rFonts w:ascii="Roboto" w:cs="Roboto" w:eastAsia="Roboto" w:hAnsi="Roboto"/>
          <w:sz w:val="22"/>
          <w:szCs w:val="22"/>
          <w:rtl w:val="0"/>
        </w:rPr>
        <w:t xml:space="preserve">OECD (2017), </w:t>
      </w:r>
      <w:r w:rsidDel="00000000" w:rsidR="00000000" w:rsidRPr="00000000">
        <w:rPr>
          <w:rFonts w:ascii="Roboto" w:cs="Roboto" w:eastAsia="Roboto" w:hAnsi="Roboto"/>
          <w:i w:val="1"/>
          <w:sz w:val="22"/>
          <w:szCs w:val="22"/>
          <w:rtl w:val="0"/>
        </w:rPr>
        <w:t xml:space="preserve">The OECD Handbook for Innovative Learning Environments</w:t>
      </w:r>
      <w:r w:rsidDel="00000000" w:rsidR="00000000" w:rsidRPr="00000000">
        <w:rPr>
          <w:rFonts w:ascii="Roboto" w:cs="Roboto" w:eastAsia="Roboto" w:hAnsi="Roboto"/>
          <w:sz w:val="22"/>
          <w:szCs w:val="22"/>
          <w:rtl w:val="0"/>
        </w:rPr>
        <w:t xml:space="preserve">, Educational Research and Innovation, OECD Publishing, Paris</w:t>
      </w:r>
      <w:r w:rsidDel="00000000" w:rsidR="00000000" w:rsidRPr="00000000">
        <w:rPr>
          <w:rFonts w:ascii="Roboto" w:cs="Roboto" w:eastAsia="Roboto" w:hAnsi="Roboto"/>
          <w:color w:val="7f7f7f"/>
          <w:sz w:val="22"/>
          <w:szCs w:val="22"/>
          <w:rtl w:val="0"/>
        </w:rPr>
        <w:t xml:space="preserve">, </w:t>
      </w:r>
      <w:hyperlink r:id="rId11">
        <w:r w:rsidDel="00000000" w:rsidR="00000000" w:rsidRPr="00000000">
          <w:rPr>
            <w:rFonts w:ascii="Roboto" w:cs="Roboto" w:eastAsia="Roboto" w:hAnsi="Roboto"/>
            <w:color w:val="1155cc"/>
            <w:sz w:val="22"/>
            <w:szCs w:val="22"/>
            <w:u w:val="single"/>
            <w:rtl w:val="0"/>
          </w:rPr>
          <w:t xml:space="preserve">https://espas.secure.europarl.europa.eu/orbis/sites/default/files/generated/document/en/9617031e.pdf</w:t>
        </w:r>
      </w:hyperlink>
      <w:r w:rsidDel="00000000" w:rsidR="00000000" w:rsidRPr="00000000">
        <w:rPr>
          <w:rtl w:val="0"/>
        </w:rPr>
      </w:r>
    </w:p>
    <w:p w:rsidR="00000000" w:rsidDel="00000000" w:rsidP="00000000" w:rsidRDefault="00000000" w:rsidRPr="00000000" w14:paraId="00000011">
      <w:pPr>
        <w:spacing w:after="160" w:line="276" w:lineRule="auto"/>
        <w:ind w:left="144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Manual se divide en cuatro capítulos, que ofrecen una síntesis concisa y no técnica de un volumen sustancial de reflexión internacional sobre aprendizaje e innovación, basado en cada caso en publicaciones referenciadas. Cada capítulo presenta también herramientas prácticas y promueve, a través de la acción práctica, las conclusiones clave de la ILE mediante la formación del liderazgo educativo, la autoevaluación y el desarrollo profesional.</w:t>
      </w:r>
    </w:p>
    <w:p w:rsidR="00000000" w:rsidDel="00000000" w:rsidP="00000000" w:rsidRDefault="00000000" w:rsidRPr="00000000" w14:paraId="00000012">
      <w:pPr>
        <w:spacing w:after="240" w:before="240" w:line="276"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Coll, César (coord.) (2018). La personalización del aprendizaje. Barcelona: Graó (Dossier Graó; 3). Monográfico de la revista Graó sobre la personalización del aprendizaje que ofrece artículos de gran calidad sobre el cambio educativo. </w:t>
      </w:r>
    </w:p>
    <w:p w:rsidR="00000000" w:rsidDel="00000000" w:rsidP="00000000" w:rsidRDefault="00000000" w:rsidRPr="00000000" w14:paraId="00000013">
      <w:pPr>
        <w:spacing w:after="160" w:line="276" w:lineRule="auto"/>
        <w:ind w:left="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after="160" w:line="276" w:lineRule="auto"/>
        <w:ind w:left="72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sectPr>
      <w:pgSz w:h="16840" w:w="1190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gl-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gmail-msolistparagraph" w:customStyle="1">
    <w:name w:val="gmail-msolistparagraph"/>
    <w:basedOn w:val="Normal"/>
    <w:rsid w:val="00D92D08"/>
    <w:pPr>
      <w:spacing w:after="100" w:afterAutospacing="1" w:before="100" w:beforeAutospacing="1"/>
    </w:pPr>
    <w:rPr>
      <w:rFonts w:ascii="Times" w:hAnsi="Times"/>
      <w:sz w:val="20"/>
      <w:szCs w:val="20"/>
      <w:lang w:val="es-ES"/>
    </w:rPr>
  </w:style>
  <w:style w:type="character" w:styleId="Hipervnculo">
    <w:name w:val="Hyperlink"/>
    <w:basedOn w:val="Fuentedeprrafopredeter"/>
    <w:uiPriority w:val="99"/>
    <w:semiHidden w:val="1"/>
    <w:unhideWhenUsed w:val="1"/>
    <w:rsid w:val="00D92D08"/>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spas.secure.europarl.europa.eu/orbis/sites/default/files/generated/document/en/9617031e.pdf" TargetMode="External"/><Relationship Id="rId10" Type="http://schemas.openxmlformats.org/officeDocument/2006/relationships/hyperlink" Target="http://www.oecd.org/education/ceri/The%20Nature%20of%20Learning.Practitioner%20Guide.ESP.pdf" TargetMode="External"/><Relationship Id="rId9" Type="http://schemas.openxmlformats.org/officeDocument/2006/relationships/hyperlink" Target="https://unesdoc.unesco.org/ark:/48223/pf000023269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meo.com/282473131" TargetMode="External"/><Relationship Id="rId8" Type="http://schemas.openxmlformats.org/officeDocument/2006/relationships/hyperlink" Target="https://www.youtube.com/watch?v=O2OhQg_Kl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IbMRhWevkbXcxvwwrkDPFDLyw==">AMUW2mX/wLJg2iGu/i81jgtWYIuvLhzC6k5b8tImMuSkcVLB/djI/mUgUeicZKpVCYSiOUTjZMO2BthntsKfK6TobZCXaNycBuyEKbi7qZMd9pvlZJL32yqiZoPjOwvOGVUFiuK8Mca9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2019-10-28T18:57:00Z</dcterms:created>
  <dc:creator>Poderosisima</dc:creator>
</cp:coreProperties>
</file>